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color w:val="000000"/>
          <w:sz w:val="32"/>
          <w:szCs w:val="32"/>
        </w:rPr>
      </w:pPr>
      <w:r>
        <w:rPr>
          <w:rFonts w:hint="eastAsia" w:ascii="黑体" w:hAnsi="黑体" w:eastAsia="黑体" w:cs="黑体"/>
          <w:bCs/>
          <w:color w:val="000000"/>
          <w:sz w:val="32"/>
          <w:szCs w:val="32"/>
        </w:rPr>
        <w:t>附件1</w:t>
      </w:r>
    </w:p>
    <w:p>
      <w:pPr>
        <w:jc w:val="center"/>
        <w:rPr>
          <w:rFonts w:hint="eastAsia"/>
          <w:b/>
          <w:sz w:val="44"/>
          <w:szCs w:val="44"/>
        </w:rPr>
      </w:pPr>
      <w:r>
        <w:rPr>
          <w:rFonts w:hint="eastAsia"/>
          <w:b/>
          <w:sz w:val="44"/>
          <w:szCs w:val="44"/>
        </w:rPr>
        <w:t>国家电投集团远达</w:t>
      </w:r>
      <w:r>
        <w:rPr>
          <w:b/>
          <w:sz w:val="44"/>
          <w:szCs w:val="44"/>
        </w:rPr>
        <w:t>环保股份有限公司</w:t>
      </w:r>
      <w:r>
        <w:rPr>
          <w:rFonts w:hint="eastAsia"/>
          <w:b/>
          <w:sz w:val="44"/>
          <w:szCs w:val="44"/>
        </w:rPr>
        <w:t>招聘岗位职责及任职条件</w:t>
      </w:r>
    </w:p>
    <w:p>
      <w:pPr>
        <w:jc w:val="center"/>
        <w:rPr>
          <w:rFonts w:hint="eastAsia"/>
          <w:b/>
          <w:szCs w:val="21"/>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975"/>
        <w:gridCol w:w="780"/>
        <w:gridCol w:w="6475"/>
        <w:gridCol w:w="5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招聘</w:t>
            </w:r>
          </w:p>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w:t>
            </w:r>
          </w:p>
        </w:tc>
        <w:tc>
          <w:tcPr>
            <w:tcW w:w="975" w:type="dxa"/>
            <w:tcBorders>
              <w:left w:val="single" w:color="auto" w:sz="4" w:space="0"/>
            </w:tcBorders>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招聘岗位</w:t>
            </w:r>
          </w:p>
        </w:tc>
        <w:tc>
          <w:tcPr>
            <w:tcW w:w="780"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招聘人数</w:t>
            </w:r>
          </w:p>
        </w:tc>
        <w:tc>
          <w:tcPr>
            <w:tcW w:w="6475"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岗位主要职责</w:t>
            </w:r>
          </w:p>
        </w:tc>
        <w:tc>
          <w:tcPr>
            <w:tcW w:w="5375" w:type="dxa"/>
            <w:noWrap w:val="0"/>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4"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财务共享中心</w:t>
            </w:r>
          </w:p>
        </w:tc>
        <w:tc>
          <w:tcPr>
            <w:tcW w:w="975" w:type="dxa"/>
            <w:tcBorders>
              <w:left w:val="single" w:color="auto" w:sz="4" w:space="0"/>
            </w:tcBorders>
            <w:noWrap w:val="0"/>
            <w:vAlign w:val="center"/>
          </w:tcPr>
          <w:p>
            <w:pPr>
              <w:spacing w:line="300" w:lineRule="exact"/>
              <w:jc w:val="center"/>
              <w:rPr>
                <w:rFonts w:hint="eastAsia" w:ascii="仿宋_GB2312" w:hAnsi="仿宋_GB2312" w:eastAsia="仿宋_GB2312" w:cs="仿宋_GB2312"/>
                <w:color w:val="000000"/>
                <w:szCs w:val="21"/>
                <w:lang w:val="zh-CN"/>
              </w:rPr>
            </w:pPr>
            <w:r>
              <w:rPr>
                <w:rFonts w:hint="eastAsia" w:ascii="仿宋_GB2312" w:hAnsi="仿宋_GB2312" w:eastAsia="仿宋_GB2312" w:cs="仿宋_GB2312"/>
                <w:color w:val="000000"/>
                <w:szCs w:val="21"/>
                <w:lang w:val="zh-CN"/>
              </w:rPr>
              <w:t>共享稽核</w:t>
            </w:r>
            <w:r>
              <w:rPr>
                <w:rFonts w:hint="eastAsia" w:ascii="仿宋_GB2312" w:hAnsi="仿宋_GB2312" w:eastAsia="仿宋_GB2312" w:cs="仿宋_GB2312"/>
                <w:color w:val="000000"/>
                <w:szCs w:val="21"/>
              </w:rPr>
              <w:t>主管</w:t>
            </w:r>
          </w:p>
        </w:tc>
        <w:tc>
          <w:tcPr>
            <w:tcW w:w="780" w:type="dxa"/>
            <w:noWrap w:val="0"/>
            <w:vAlign w:val="center"/>
          </w:tcPr>
          <w:p>
            <w:pPr>
              <w:spacing w:line="300" w:lineRule="exact"/>
              <w:jc w:val="center"/>
              <w:rPr>
                <w:rFonts w:hint="eastAsia" w:ascii="仿宋_GB2312" w:hAnsi="仿宋_GB2312" w:eastAsia="仿宋_GB2312" w:cs="仿宋_GB2312"/>
                <w:color w:val="000000"/>
                <w:szCs w:val="21"/>
                <w:lang w:val="zh-CN"/>
              </w:rPr>
            </w:pPr>
            <w:r>
              <w:rPr>
                <w:rFonts w:hint="eastAsia" w:ascii="仿宋_GB2312" w:hAnsi="仿宋_GB2312" w:eastAsia="仿宋_GB2312" w:cs="仿宋_GB2312"/>
                <w:color w:val="000000"/>
                <w:szCs w:val="21"/>
                <w:lang w:val="zh-CN"/>
              </w:rPr>
              <w:t>2</w:t>
            </w:r>
            <w:r>
              <w:rPr>
                <w:rFonts w:hint="eastAsia" w:ascii="仿宋_GB2312" w:hAnsi="仿宋_GB2312" w:eastAsia="仿宋_GB2312" w:cs="仿宋_GB2312"/>
                <w:color w:val="000000"/>
                <w:szCs w:val="21"/>
              </w:rPr>
              <w:t>-3人</w:t>
            </w:r>
          </w:p>
        </w:tc>
        <w:tc>
          <w:tcPr>
            <w:tcW w:w="6475" w:type="dxa"/>
            <w:noWrap w:val="0"/>
            <w:vAlign w:val="center"/>
          </w:tcPr>
          <w:p>
            <w:pPr>
              <w:spacing w:line="300" w:lineRule="exact"/>
              <w:jc w:val="left"/>
              <w:rPr>
                <w:rFonts w:hint="eastAsia"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1.制定并完善共享中心的业务操作规范与流程、标准化手册并监督实施。</w:t>
            </w:r>
          </w:p>
          <w:p>
            <w:pPr>
              <w:spacing w:line="30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highlight w:val="none"/>
              </w:rPr>
              <w:t>2.组织共享中心成员单位有计划</w:t>
            </w:r>
            <w:bookmarkStart w:id="0" w:name="_GoBack"/>
            <w:bookmarkEnd w:id="0"/>
            <w:r>
              <w:rPr>
                <w:rFonts w:hint="eastAsia" w:ascii="仿宋_GB2312" w:hAnsi="仿宋_GB2312" w:eastAsia="仿宋_GB2312" w:cs="仿宋_GB2312"/>
                <w:color w:val="000000"/>
                <w:szCs w:val="21"/>
                <w:highlight w:val="none"/>
              </w:rPr>
              <w:t>开展月末、年末关账工作。</w:t>
            </w:r>
          </w:p>
          <w:p>
            <w:pPr>
              <w:spacing w:line="30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highlight w:val="none"/>
              </w:rPr>
              <w:t>3.负责按照公司的报表编制要求组织财务共享中心财务报表的编制工作。</w:t>
            </w:r>
          </w:p>
          <w:p>
            <w:pPr>
              <w:spacing w:line="300" w:lineRule="exact"/>
              <w:jc w:val="left"/>
              <w:rPr>
                <w:rFonts w:hint="eastAsia"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rPr>
              <w:t>4</w:t>
            </w:r>
            <w:r>
              <w:rPr>
                <w:rFonts w:hint="eastAsia" w:ascii="仿宋_GB2312" w:hAnsi="仿宋_GB2312" w:eastAsia="仿宋_GB2312" w:cs="仿宋_GB2312"/>
                <w:color w:val="000000"/>
                <w:szCs w:val="21"/>
                <w:highlight w:val="none"/>
              </w:rPr>
              <w:t>.负责对成员单位的会计业务、财务会计报表、资金支付等进行稽核。</w:t>
            </w:r>
          </w:p>
          <w:p>
            <w:pPr>
              <w:spacing w:line="30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highlight w:val="none"/>
              </w:rPr>
              <w:t>5.负责对月度稽核情况进行分析总结，指导成员单位规范会计核算与会计基础工作。</w:t>
            </w:r>
          </w:p>
          <w:p>
            <w:pPr>
              <w:spacing w:line="300" w:lineRule="exact"/>
              <w:jc w:val="left"/>
              <w:rPr>
                <w:rFonts w:hint="eastAsia" w:ascii="仿宋_GB2312" w:hAnsi="仿宋_GB2312" w:eastAsia="仿宋_GB2312" w:cs="仿宋_GB2312"/>
                <w:color w:val="000000"/>
                <w:szCs w:val="21"/>
                <w:highlight w:val="none"/>
              </w:rPr>
            </w:pPr>
            <w:r>
              <w:rPr>
                <w:rFonts w:hint="eastAsia" w:ascii="仿宋_GB2312" w:hAnsi="仿宋_GB2312" w:eastAsia="仿宋_GB2312" w:cs="仿宋_GB2312"/>
                <w:color w:val="000000"/>
                <w:szCs w:val="21"/>
                <w:highlight w:val="none"/>
              </w:rPr>
              <w:t>6.</w:t>
            </w:r>
            <w:r>
              <w:rPr>
                <w:rFonts w:hint="eastAsia" w:ascii="仿宋_GB2312" w:hAnsi="仿宋_GB2312" w:eastAsia="仿宋_GB2312" w:cs="仿宋_GB2312"/>
                <w:color w:val="000000"/>
                <w:sz w:val="21"/>
                <w:szCs w:val="21"/>
                <w:shd w:val="clear" w:color="auto" w:fill="auto"/>
              </w:rPr>
              <w:t>负责配合成员单位完成内外部审计,配合上级及各主管部门的检查工作</w:t>
            </w:r>
            <w:r>
              <w:rPr>
                <w:rFonts w:hint="eastAsia" w:ascii="仿宋_GB2312" w:hAnsi="仿宋_GB2312" w:eastAsia="仿宋_GB2312" w:cs="仿宋_GB2312"/>
                <w:color w:val="000000"/>
                <w:szCs w:val="21"/>
                <w:highlight w:val="none"/>
              </w:rPr>
              <w:t>。</w:t>
            </w:r>
          </w:p>
          <w:p>
            <w:pPr>
              <w:spacing w:line="300" w:lineRule="exact"/>
              <w:jc w:val="left"/>
              <w:rPr>
                <w:rFonts w:hint="eastAsia" w:ascii="仿宋_GB2312" w:hAnsi="仿宋_GB2312" w:eastAsia="仿宋_GB2312" w:cs="仿宋_GB2312"/>
                <w:color w:val="000000"/>
                <w:szCs w:val="21"/>
                <w:lang w:val="zh-CN"/>
              </w:rPr>
            </w:pPr>
            <w:r>
              <w:rPr>
                <w:rFonts w:hint="eastAsia" w:ascii="仿宋_GB2312" w:hAnsi="仿宋_GB2312" w:eastAsia="仿宋_GB2312" w:cs="仿宋_GB2312"/>
                <w:color w:val="000000"/>
                <w:szCs w:val="21"/>
                <w:highlight w:val="none"/>
              </w:rPr>
              <w:t>7.完成领导交办的其他事项。</w:t>
            </w:r>
          </w:p>
        </w:tc>
        <w:tc>
          <w:tcPr>
            <w:tcW w:w="5375" w:type="dxa"/>
            <w:noWrap w:val="0"/>
            <w:vAlign w:val="center"/>
          </w:tcPr>
          <w:p>
            <w:pPr>
              <w:spacing w:line="300" w:lineRule="exact"/>
              <w:jc w:val="left"/>
              <w:rPr>
                <w:rFonts w:hint="eastAsia" w:ascii="仿宋_GB2312" w:eastAsia="仿宋_GB2312"/>
              </w:rPr>
            </w:pPr>
            <w:r>
              <w:rPr>
                <w:rFonts w:hint="eastAsia" w:ascii="仿宋_GB2312" w:eastAsia="仿宋_GB2312"/>
                <w:lang w:val="zh-CN"/>
              </w:rPr>
              <w:t>1.</w:t>
            </w:r>
            <w:r>
              <w:rPr>
                <w:rFonts w:hint="eastAsia" w:ascii="仿宋_GB2312" w:eastAsia="仿宋_GB2312"/>
              </w:rPr>
              <w:t>年龄35周岁以下，全日制</w:t>
            </w:r>
            <w:r>
              <w:rPr>
                <w:rFonts w:hint="eastAsia" w:ascii="仿宋_GB2312" w:eastAsia="仿宋_GB2312"/>
                <w:lang w:val="zh-CN"/>
              </w:rPr>
              <w:t>大学本科财会相关专业</w:t>
            </w:r>
            <w:r>
              <w:rPr>
                <w:rFonts w:hint="eastAsia" w:ascii="仿宋_GB2312" w:eastAsia="仿宋_GB2312"/>
              </w:rPr>
              <w:t>毕业后从事财会工作</w:t>
            </w:r>
            <w:r>
              <w:rPr>
                <w:rFonts w:hint="eastAsia" w:ascii="仿宋_GB2312" w:eastAsia="仿宋_GB2312"/>
                <w:lang w:val="zh-CN"/>
              </w:rPr>
              <w:t>5年</w:t>
            </w:r>
            <w:r>
              <w:rPr>
                <w:rFonts w:hint="eastAsia" w:ascii="仿宋_GB2312" w:eastAsia="仿宋_GB2312"/>
              </w:rPr>
              <w:t>及以上</w:t>
            </w:r>
            <w:r>
              <w:rPr>
                <w:rFonts w:hint="eastAsia" w:ascii="仿宋_GB2312" w:eastAsia="仿宋_GB2312"/>
                <w:lang w:val="zh-CN"/>
              </w:rPr>
              <w:t>、或研究生（优先）</w:t>
            </w:r>
            <w:r>
              <w:rPr>
                <w:rFonts w:hint="eastAsia" w:ascii="仿宋_GB2312" w:eastAsia="仿宋_GB2312"/>
              </w:rPr>
              <w:t>毕业后从事财会工作3年及以上，其中从事</w:t>
            </w:r>
            <w:r>
              <w:rPr>
                <w:rFonts w:hint="eastAsia" w:ascii="仿宋_GB2312" w:eastAsia="仿宋_GB2312"/>
                <w:lang w:val="zh-CN"/>
              </w:rPr>
              <w:t>会计核算、报表管理工作经验2年以上</w:t>
            </w:r>
            <w:r>
              <w:rPr>
                <w:rFonts w:hint="eastAsia" w:ascii="仿宋_GB2312" w:eastAsia="仿宋_GB2312"/>
              </w:rPr>
              <w:t>。</w:t>
            </w:r>
          </w:p>
          <w:p>
            <w:pPr>
              <w:spacing w:line="300" w:lineRule="exact"/>
              <w:jc w:val="left"/>
              <w:rPr>
                <w:rFonts w:hint="eastAsia" w:ascii="仿宋_GB2312" w:eastAsia="仿宋_GB2312"/>
              </w:rPr>
            </w:pPr>
            <w:r>
              <w:rPr>
                <w:rFonts w:hint="eastAsia" w:ascii="仿宋_GB2312" w:eastAsia="仿宋_GB2312"/>
              </w:rPr>
              <w:t>2.</w:t>
            </w:r>
            <w:r>
              <w:rPr>
                <w:rFonts w:hint="eastAsia" w:ascii="仿宋_GB2312" w:eastAsia="仿宋_GB2312"/>
                <w:lang w:val="zh-CN"/>
              </w:rPr>
              <w:t>具有中级会计师</w:t>
            </w:r>
            <w:r>
              <w:rPr>
                <w:rFonts w:hint="eastAsia" w:ascii="仿宋_GB2312" w:eastAsia="仿宋_GB2312"/>
              </w:rPr>
              <w:t>及</w:t>
            </w:r>
            <w:r>
              <w:rPr>
                <w:rFonts w:hint="eastAsia" w:ascii="仿宋_GB2312" w:eastAsia="仿宋_GB2312"/>
                <w:lang w:val="zh-CN"/>
              </w:rPr>
              <w:t>以上职称，</w:t>
            </w:r>
            <w:r>
              <w:rPr>
                <w:rFonts w:hint="eastAsia" w:ascii="仿宋_GB2312" w:eastAsia="仿宋_GB2312"/>
              </w:rPr>
              <w:t>具备注册会计师资格者优先。</w:t>
            </w:r>
          </w:p>
          <w:p>
            <w:pPr>
              <w:spacing w:line="300" w:lineRule="exact"/>
              <w:jc w:val="left"/>
              <w:rPr>
                <w:rFonts w:hint="eastAsia" w:ascii="仿宋_GB2312" w:eastAsia="仿宋_GB2312"/>
                <w:lang w:val="zh-CN"/>
              </w:rPr>
            </w:pPr>
            <w:r>
              <w:rPr>
                <w:rFonts w:hint="eastAsia" w:ascii="仿宋_GB2312" w:eastAsia="仿宋_GB2312"/>
                <w:lang w:val="zh-CN"/>
              </w:rPr>
              <w:t>3.掌握财务会计、成本会计、管理会计、财务管理等专业知识，熟悉会计法、税法、企业会计准则、金融等财经法律法规知识。</w:t>
            </w:r>
          </w:p>
          <w:p>
            <w:pPr>
              <w:spacing w:line="300" w:lineRule="exact"/>
              <w:jc w:val="left"/>
              <w:rPr>
                <w:rFonts w:hint="eastAsia" w:ascii="仿宋_GB2312" w:eastAsia="仿宋_GB2312"/>
                <w:highlight w:val="yellow"/>
                <w:lang w:val="zh-CN"/>
              </w:rPr>
            </w:pPr>
            <w:r>
              <w:rPr>
                <w:rFonts w:hint="eastAsia" w:ascii="仿宋_GB2312" w:eastAsia="仿宋_GB2312"/>
                <w:lang w:val="zh-CN"/>
              </w:rPr>
              <w:t>4.熟练使用财务软件及各种办公软件，具备基本的信息化及网络知识；具有较强的计划与执行能力、分析能力、沟通协调能力和团队协作能力</w:t>
            </w:r>
            <w:r>
              <w:rPr>
                <w:rFonts w:hint="eastAsia" w:ascii="仿宋_GB2312" w:eastAsia="仿宋_GB2312"/>
                <w:highlight w:val="none"/>
                <w:lang w:val="zh-CN"/>
              </w:rPr>
              <w:t>。</w:t>
            </w:r>
          </w:p>
          <w:p>
            <w:pPr>
              <w:pStyle w:val="2"/>
              <w:rPr>
                <w:rFonts w:hint="eastAsia" w:ascii="仿宋_GB2312" w:eastAsia="仿宋_GB2312"/>
                <w:lang w:val="zh-CN"/>
              </w:rPr>
            </w:pPr>
          </w:p>
        </w:tc>
      </w:tr>
    </w:tbl>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6</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734368"/>
    <w:rsid w:val="247343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uiPriority w:val="0"/>
    <w:pPr>
      <w:spacing w:after="120"/>
      <w:ind w:left="420" w:leftChars="200"/>
    </w:pPr>
  </w:style>
  <w:style w:type="paragraph" w:styleId="4">
    <w:name w:val="footer"/>
    <w:basedOn w:val="1"/>
    <w:uiPriority w:val="99"/>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2021-07-12T03:43:00Z</dcterms:created>
  <dc:creator>Administrator</dc:creator>
  <cp:lastModifiedBy>Administrator</cp:lastModifiedBy>
  <dcterms:modified xsi:type="dcterms:W3CDTF">2021-07-12T03:43:45Z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BAF5326F39C1486297751C2EE81DE09A</vt:lpwstr>
  </property>
</Properties>
</file>